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53" w:rsidRPr="00A6012B" w:rsidRDefault="00802CE0" w:rsidP="00A6012B">
      <w:pPr>
        <w:spacing w:line="259" w:lineRule="auto"/>
        <w:rPr>
          <w:rFonts w:ascii="Calibri" w:eastAsia="Calibri" w:hAnsi="Calibri"/>
          <w:b/>
          <w:sz w:val="28"/>
          <w:szCs w:val="28"/>
          <w:u w:val="single"/>
        </w:rPr>
      </w:pPr>
      <w:r w:rsidRPr="00A6012B">
        <w:rPr>
          <w:rFonts w:ascii="Calibri" w:eastAsia="Calibri" w:hAnsi="Calibri"/>
          <w:b/>
          <w:sz w:val="28"/>
          <w:szCs w:val="28"/>
        </w:rPr>
        <w:t xml:space="preserve">Prilog IX - </w:t>
      </w:r>
      <w:r w:rsidR="00230556" w:rsidRPr="00A6012B">
        <w:rPr>
          <w:rFonts w:ascii="Calibri" w:eastAsia="Calibri" w:hAnsi="Calibri"/>
          <w:b/>
          <w:sz w:val="28"/>
          <w:szCs w:val="28"/>
        </w:rPr>
        <w:t>Kriteriji odabira za TO 7.4.1.</w:t>
      </w:r>
    </w:p>
    <w:tbl>
      <w:tblPr>
        <w:tblStyle w:val="Reetkatablice1"/>
        <w:tblpPr w:leftFromText="180" w:rightFromText="180" w:vertAnchor="page" w:horzAnchor="margin" w:tblpY="3116"/>
        <w:tblW w:w="9483" w:type="dxa"/>
        <w:tblLook w:val="04A0" w:firstRow="1" w:lastRow="0" w:firstColumn="1" w:lastColumn="0" w:noHBand="0" w:noVBand="1"/>
      </w:tblPr>
      <w:tblGrid>
        <w:gridCol w:w="421"/>
        <w:gridCol w:w="7371"/>
        <w:gridCol w:w="1691"/>
      </w:tblGrid>
      <w:tr w:rsidR="00A6012B" w:rsidRPr="00A6012B" w:rsidTr="00A6012B">
        <w:tc>
          <w:tcPr>
            <w:tcW w:w="9483" w:type="dxa"/>
            <w:gridSpan w:val="3"/>
            <w:shd w:val="clear" w:color="auto" w:fill="538135"/>
          </w:tcPr>
          <w:p w:rsidR="00A6012B" w:rsidRPr="00A6012B" w:rsidRDefault="00A6012B" w:rsidP="00A6012B">
            <w:pPr>
              <w:jc w:val="center"/>
              <w:rPr>
                <w:rFonts w:eastAsia="Calibri"/>
                <w:noProof/>
                <w:color w:val="FFFFFF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FFFFFF"/>
                <w:sz w:val="18"/>
                <w:szCs w:val="20"/>
              </w:rPr>
              <w:t xml:space="preserve">KRITERIJI ODABIRA ZA </w:t>
            </w:r>
            <w:r>
              <w:rPr>
                <w:rFonts w:eastAsia="Calibri"/>
                <w:noProof/>
                <w:color w:val="FFFFFF"/>
                <w:sz w:val="18"/>
                <w:szCs w:val="20"/>
              </w:rPr>
              <w:t xml:space="preserve">TO </w:t>
            </w:r>
            <w:r w:rsidRPr="00A6012B">
              <w:rPr>
                <w:rFonts w:eastAsia="Calibri"/>
                <w:noProof/>
                <w:color w:val="FFFFFF"/>
                <w:sz w:val="18"/>
                <w:szCs w:val="20"/>
              </w:rPr>
              <w:t>7.4.1.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83BC5C"/>
          </w:tcPr>
          <w:p w:rsidR="00A6012B" w:rsidRPr="00A6012B" w:rsidRDefault="00A6012B" w:rsidP="00A6012B">
            <w:pPr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shd w:val="clear" w:color="auto" w:fill="83BC5C"/>
          </w:tcPr>
          <w:p w:rsidR="00A6012B" w:rsidRPr="00A6012B" w:rsidRDefault="00A6012B" w:rsidP="00A6012B">
            <w:pPr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Vrsta prihvatljivog ulaganja</w:t>
            </w:r>
          </w:p>
        </w:tc>
        <w:tc>
          <w:tcPr>
            <w:tcW w:w="1691" w:type="dxa"/>
            <w:shd w:val="clear" w:color="auto" w:fill="83BC5C"/>
          </w:tcPr>
          <w:p w:rsidR="00A6012B" w:rsidRPr="00A6012B" w:rsidRDefault="00A6012B" w:rsidP="00A6012B">
            <w:pPr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max.20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u javno dostupnu infrastrukturu otvorenu za sve pojedince i sve interesne skupine - javne zelene površine – parkovi i sl.; pješačke staze; pješačke zone; otvoreni odvodni kanali koji nisu sastavni dio ceste; groblja; javne prometne površine – trgovi, pothodnici, nadvožnjaci, javne stube i prolazi; tržnice, dječja igrališta, sportske građevine, rekreacijske zone na rijekama i jezerima, biciklističke staze i trake, tematski putovi i parkovi, turistički informativni centri i dr. sukladno listi prihvatljivih troškova</w:t>
            </w:r>
          </w:p>
        </w:tc>
        <w:tc>
          <w:tcPr>
            <w:tcW w:w="169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20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u multifunkcionalnu društvenu infrastrukturu za javnu uporabu: društveni domovi, kulturni centri, vatrogasni domovi i spremišta, planinarski domovi i skloništa, sportske građevine, objekti za slatkovodni sportski ribolov i dr.- sukladno listi prihvatljivih troškova.</w:t>
            </w:r>
          </w:p>
        </w:tc>
        <w:tc>
          <w:tcPr>
            <w:tcW w:w="169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15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Ulaganja u građevine za ostvarivanje organizirane njege, odgoja, obrazovanja i zaštite djece do polaska u osnovnu školu (dječji vrtići, rekonstrukcija i opremanje prostora za izvođenje programa predškole u osnovnim školama te rekonstrukcija i opremanje prostora za igraonice pri knjižnicama, zdravstvenim, socijalnim, kulturnim i sportskim ustanovama, udrugama te drugim pravnim osobama u kojima se provode kraći programi odgojno-obrazovnog rada s djecom rane i predškolske dobi i dr. - sukladno listi prihvatljivih troškova.</w:t>
            </w:r>
            <w:r w:rsidRPr="00A6012B" w:rsidDel="003A4E01">
              <w:rPr>
                <w:rFonts w:eastAsia="Calibri"/>
                <w:noProof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691" w:type="dxa"/>
            <w:shd w:val="clear" w:color="auto" w:fill="FFFFFF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10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doprinosi stvaranju novih radnih mjesta</w:t>
            </w:r>
            <w:r w:rsidRPr="00A6012B">
              <w:rPr>
                <w:rFonts w:eastAsia="Calibri"/>
                <w:noProof/>
                <w:color w:val="000000"/>
                <w:sz w:val="18"/>
                <w:szCs w:val="20"/>
                <w:vertAlign w:val="superscript"/>
              </w:rPr>
              <w:footnoteReference w:id="1"/>
            </w:r>
          </w:p>
        </w:tc>
        <w:tc>
          <w:tcPr>
            <w:tcW w:w="169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max.15</w:t>
            </w:r>
          </w:p>
        </w:tc>
      </w:tr>
      <w:tr w:rsidR="00A6012B" w:rsidRPr="00A6012B" w:rsidTr="00A6012B">
        <w:tc>
          <w:tcPr>
            <w:tcW w:w="42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aktivnostima iz poslovnog plana  će se povećati broj radnih mjesta za 2 ili više radnih mjesta u smislu pune zapolenosti iskazano kao FTE</w:t>
            </w:r>
            <w:r w:rsidRPr="00A6012B">
              <w:rPr>
                <w:rFonts w:ascii="Courier New" w:eastAsia="Calibri" w:hAnsi="Courier New" w:cs="Courier New"/>
                <w:noProof/>
                <w:color w:val="000000"/>
                <w:sz w:val="18"/>
                <w:szCs w:val="20"/>
              </w:rPr>
              <w:t>*</w:t>
            </w:r>
          </w:p>
        </w:tc>
        <w:tc>
          <w:tcPr>
            <w:tcW w:w="1691" w:type="dxa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15</w:t>
            </w:r>
          </w:p>
        </w:tc>
      </w:tr>
      <w:tr w:rsidR="00A6012B" w:rsidRPr="00A6012B" w:rsidTr="00A6012B">
        <w:tc>
          <w:tcPr>
            <w:tcW w:w="42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aktivnostima iz poslovnog plana  će se povećati broj radnih mjesta za 1 radno mjesto u smislu pune zapolenosti iskazano kao FTE</w:t>
            </w:r>
            <w:r w:rsidRPr="00A6012B">
              <w:rPr>
                <w:rFonts w:ascii="Courier New" w:eastAsia="Calibri" w:hAnsi="Courier New" w:cs="Courier New"/>
                <w:noProof/>
                <w:color w:val="000000"/>
                <w:sz w:val="18"/>
                <w:szCs w:val="20"/>
              </w:rPr>
              <w:t>*</w:t>
            </w:r>
          </w:p>
        </w:tc>
        <w:tc>
          <w:tcPr>
            <w:tcW w:w="1691" w:type="dxa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10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uključuje korištenje energije iz obnovljivih izvora energije</w:t>
            </w:r>
            <w:r w:rsidRPr="00A6012B">
              <w:rPr>
                <w:rFonts w:eastAsia="Calibri"/>
                <w:noProof/>
                <w:color w:val="000000"/>
                <w:sz w:val="18"/>
                <w:szCs w:val="20"/>
                <w:vertAlign w:val="superscript"/>
              </w:rPr>
              <w:footnoteReference w:id="2"/>
            </w:r>
          </w:p>
        </w:tc>
        <w:tc>
          <w:tcPr>
            <w:tcW w:w="169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max.15</w:t>
            </w:r>
          </w:p>
        </w:tc>
      </w:tr>
      <w:tr w:rsidR="00A6012B" w:rsidRPr="00A6012B" w:rsidTr="004A5300">
        <w:tc>
          <w:tcPr>
            <w:tcW w:w="421" w:type="dxa"/>
            <w:shd w:val="clear" w:color="auto" w:fill="auto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uključuje korištenje energije iz obnovljivih izvora energije</w:t>
            </w:r>
          </w:p>
        </w:tc>
        <w:tc>
          <w:tcPr>
            <w:tcW w:w="1691" w:type="dxa"/>
            <w:shd w:val="clear" w:color="auto" w:fill="auto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15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4.</w:t>
            </w:r>
          </w:p>
        </w:tc>
        <w:tc>
          <w:tcPr>
            <w:tcW w:w="737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Tip ulaganja</w:t>
            </w:r>
          </w:p>
        </w:tc>
        <w:tc>
          <w:tcPr>
            <w:tcW w:w="169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max. 15</w:t>
            </w:r>
          </w:p>
        </w:tc>
      </w:tr>
      <w:tr w:rsidR="00A6012B" w:rsidRPr="00A6012B" w:rsidTr="00A6012B">
        <w:tc>
          <w:tcPr>
            <w:tcW w:w="42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u rekonstrukciju (sa ili bez opremanja)</w:t>
            </w:r>
          </w:p>
        </w:tc>
        <w:tc>
          <w:tcPr>
            <w:tcW w:w="1691" w:type="dxa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15</w:t>
            </w:r>
          </w:p>
        </w:tc>
      </w:tr>
      <w:tr w:rsidR="00A6012B" w:rsidRPr="00A6012B" w:rsidTr="00A6012B">
        <w:tc>
          <w:tcPr>
            <w:tcW w:w="42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 xml:space="preserve">ulaganje u  izgradnju (sa ili bez opremanja)  </w:t>
            </w:r>
          </w:p>
        </w:tc>
        <w:tc>
          <w:tcPr>
            <w:tcW w:w="1691" w:type="dxa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10</w:t>
            </w:r>
          </w:p>
        </w:tc>
      </w:tr>
      <w:tr w:rsidR="00A6012B" w:rsidRPr="00A6012B" w:rsidTr="00A6012B">
        <w:tc>
          <w:tcPr>
            <w:tcW w:w="42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 xml:space="preserve">ulaganje u opremanje </w:t>
            </w:r>
          </w:p>
        </w:tc>
        <w:tc>
          <w:tcPr>
            <w:tcW w:w="1691" w:type="dxa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5</w:t>
            </w:r>
          </w:p>
        </w:tc>
      </w:tr>
      <w:tr w:rsidR="00A6012B" w:rsidRPr="00A6012B" w:rsidTr="00A6012B">
        <w:tc>
          <w:tcPr>
            <w:tcW w:w="42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5.</w:t>
            </w:r>
          </w:p>
        </w:tc>
        <w:tc>
          <w:tcPr>
            <w:tcW w:w="737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doprinosi ostvarenju većeg broja ciljeva Lokalne razvojne strategije</w:t>
            </w:r>
            <w:r w:rsidRPr="00A6012B">
              <w:rPr>
                <w:rFonts w:eastAsia="Calibri"/>
                <w:noProof/>
                <w:color w:val="000000"/>
                <w:sz w:val="18"/>
                <w:szCs w:val="20"/>
                <w:vertAlign w:val="superscript"/>
              </w:rPr>
              <w:footnoteReference w:id="3"/>
            </w:r>
          </w:p>
        </w:tc>
        <w:tc>
          <w:tcPr>
            <w:tcW w:w="1691" w:type="dxa"/>
            <w:shd w:val="clear" w:color="auto" w:fill="83BC5C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max.1</w:t>
            </w:r>
            <w:bookmarkStart w:id="0" w:name="_GoBack"/>
            <w:bookmarkEnd w:id="0"/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0</w:t>
            </w:r>
          </w:p>
        </w:tc>
      </w:tr>
      <w:tr w:rsidR="00A6012B" w:rsidRPr="00A6012B" w:rsidTr="00A6012B">
        <w:tc>
          <w:tcPr>
            <w:tcW w:w="42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doprinose ostvarenju 2 cilja LRS</w:t>
            </w:r>
          </w:p>
        </w:tc>
        <w:tc>
          <w:tcPr>
            <w:tcW w:w="1691" w:type="dxa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10</w:t>
            </w:r>
          </w:p>
        </w:tc>
      </w:tr>
      <w:tr w:rsidR="00A6012B" w:rsidRPr="00A6012B" w:rsidTr="00A6012B">
        <w:tc>
          <w:tcPr>
            <w:tcW w:w="42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ulaganje doprinose ostvarenju 1  cilja LRS</w:t>
            </w:r>
          </w:p>
        </w:tc>
        <w:tc>
          <w:tcPr>
            <w:tcW w:w="1691" w:type="dxa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5</w:t>
            </w:r>
          </w:p>
        </w:tc>
      </w:tr>
      <w:tr w:rsidR="00A6012B" w:rsidRPr="00A6012B" w:rsidTr="00A6012B">
        <w:tc>
          <w:tcPr>
            <w:tcW w:w="7792" w:type="dxa"/>
            <w:gridSpan w:val="2"/>
            <w:shd w:val="clear" w:color="auto" w:fill="F9D44D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MAKSIMALNI BROJ BOODVA</w:t>
            </w:r>
          </w:p>
        </w:tc>
        <w:tc>
          <w:tcPr>
            <w:tcW w:w="1691" w:type="dxa"/>
            <w:shd w:val="clear" w:color="auto" w:fill="F9D44D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75</w:t>
            </w:r>
          </w:p>
        </w:tc>
      </w:tr>
      <w:tr w:rsidR="00A6012B" w:rsidRPr="00A6012B" w:rsidTr="00A6012B">
        <w:tc>
          <w:tcPr>
            <w:tcW w:w="7792" w:type="dxa"/>
            <w:gridSpan w:val="2"/>
            <w:shd w:val="clear" w:color="auto" w:fill="F9D44D"/>
          </w:tcPr>
          <w:p w:rsidR="00A6012B" w:rsidRPr="00A6012B" w:rsidRDefault="00A6012B" w:rsidP="00A6012B">
            <w:pPr>
              <w:spacing w:after="40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PRAG PROLAZNOSTI</w:t>
            </w:r>
          </w:p>
        </w:tc>
        <w:tc>
          <w:tcPr>
            <w:tcW w:w="1691" w:type="dxa"/>
            <w:shd w:val="clear" w:color="auto" w:fill="F9D44D"/>
          </w:tcPr>
          <w:p w:rsidR="00A6012B" w:rsidRPr="00A6012B" w:rsidRDefault="00A6012B" w:rsidP="00A6012B">
            <w:pPr>
              <w:spacing w:after="40"/>
              <w:jc w:val="center"/>
              <w:rPr>
                <w:rFonts w:eastAsia="Calibri"/>
                <w:noProof/>
                <w:color w:val="000000"/>
                <w:sz w:val="18"/>
                <w:szCs w:val="20"/>
              </w:rPr>
            </w:pPr>
            <w:r w:rsidRPr="00A6012B">
              <w:rPr>
                <w:rFonts w:eastAsia="Calibri"/>
                <w:noProof/>
                <w:color w:val="000000"/>
                <w:sz w:val="18"/>
                <w:szCs w:val="20"/>
              </w:rPr>
              <w:t>20</w:t>
            </w:r>
          </w:p>
        </w:tc>
      </w:tr>
    </w:tbl>
    <w:p w:rsidR="00FA0053" w:rsidRDefault="00FA0053" w:rsidP="00A6012B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</w:p>
    <w:sectPr w:rsidR="00FA0053" w:rsidSect="00B00169">
      <w:headerReference w:type="default" r:id="rId8"/>
      <w:footerReference w:type="default" r:id="rId9"/>
      <w:pgSz w:w="12240" w:h="15840"/>
      <w:pgMar w:top="2410" w:right="1417" w:bottom="127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74" w:rsidRDefault="00153F74" w:rsidP="00AC395E">
      <w:r>
        <w:separator/>
      </w:r>
    </w:p>
  </w:endnote>
  <w:endnote w:type="continuationSeparator" w:id="0">
    <w:p w:rsidR="00153F74" w:rsidRDefault="00153F74" w:rsidP="00AC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169" w:rsidRDefault="00B00169">
    <w:pPr>
      <w:pStyle w:val="Podnoje"/>
    </w:pPr>
    <w:r w:rsidRPr="00B00169">
      <w:rPr>
        <w:rFonts w:ascii="Calibri" w:hAnsi="Calibri"/>
      </w:rPr>
      <w:t>Verzija</w:t>
    </w:r>
    <w:r>
      <w:t xml:space="preserve">: </w:t>
    </w:r>
    <w:r w:rsidRPr="00B00169">
      <w:rPr>
        <w:rFonts w:ascii="Calibri" w:hAnsi="Calibri"/>
      </w:rPr>
      <w:t>1.0.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74" w:rsidRDefault="00153F74" w:rsidP="00AC395E">
      <w:r>
        <w:separator/>
      </w:r>
    </w:p>
  </w:footnote>
  <w:footnote w:type="continuationSeparator" w:id="0">
    <w:p w:rsidR="00153F74" w:rsidRDefault="00153F74" w:rsidP="00AC395E">
      <w:r>
        <w:continuationSeparator/>
      </w:r>
    </w:p>
  </w:footnote>
  <w:footnote w:id="1">
    <w:p w:rsidR="00A6012B" w:rsidRPr="007D34B9" w:rsidRDefault="00A6012B" w:rsidP="00A6012B">
      <w:pPr>
        <w:pStyle w:val="Tekstfusnote"/>
        <w:rPr>
          <w:sz w:val="18"/>
          <w:szCs w:val="18"/>
        </w:rPr>
      </w:pPr>
      <w:r w:rsidRPr="007D34B9">
        <w:rPr>
          <w:rStyle w:val="Referencafusnote"/>
          <w:sz w:val="18"/>
          <w:szCs w:val="18"/>
        </w:rPr>
        <w:footnoteRef/>
      </w:r>
      <w:r w:rsidRPr="007D34B9">
        <w:rPr>
          <w:sz w:val="18"/>
          <w:szCs w:val="18"/>
        </w:rPr>
        <w:t xml:space="preserve"> FTE </w:t>
      </w:r>
      <w:proofErr w:type="spellStart"/>
      <w:r w:rsidRPr="007D34B9">
        <w:rPr>
          <w:i/>
          <w:sz w:val="18"/>
          <w:szCs w:val="18"/>
        </w:rPr>
        <w:t>Full</w:t>
      </w:r>
      <w:proofErr w:type="spellEnd"/>
      <w:r w:rsidRPr="007D34B9">
        <w:rPr>
          <w:i/>
          <w:sz w:val="18"/>
          <w:szCs w:val="18"/>
        </w:rPr>
        <w:t xml:space="preserve"> Time </w:t>
      </w:r>
      <w:proofErr w:type="spellStart"/>
      <w:r w:rsidRPr="007D34B9">
        <w:rPr>
          <w:i/>
          <w:sz w:val="18"/>
          <w:szCs w:val="18"/>
        </w:rPr>
        <w:t>Equivalent</w:t>
      </w:r>
      <w:proofErr w:type="spellEnd"/>
      <w:r w:rsidRPr="007D34B9">
        <w:rPr>
          <w:i/>
          <w:sz w:val="18"/>
          <w:szCs w:val="18"/>
        </w:rPr>
        <w:t xml:space="preserve"> = </w:t>
      </w:r>
      <w:r w:rsidRPr="007D34B9">
        <w:rPr>
          <w:sz w:val="18"/>
          <w:szCs w:val="18"/>
        </w:rPr>
        <w:t xml:space="preserve">Ekvivalent punog radnog vremena – podatak koji se odnosi na broj zaposlenih s kraćim od punog radnog </w:t>
      </w:r>
      <w:proofErr w:type="spellStart"/>
      <w:r w:rsidRPr="007D34B9">
        <w:rPr>
          <w:sz w:val="18"/>
          <w:szCs w:val="18"/>
        </w:rPr>
        <w:t>vremana</w:t>
      </w:r>
      <w:proofErr w:type="spellEnd"/>
      <w:r w:rsidRPr="007D34B9">
        <w:rPr>
          <w:sz w:val="18"/>
          <w:szCs w:val="18"/>
        </w:rPr>
        <w:t xml:space="preserve"> u ekvivalentu broja zaposlenih s punim radnim vremenom. </w:t>
      </w:r>
      <w:proofErr w:type="spellStart"/>
      <w:r w:rsidRPr="007D34B9">
        <w:rPr>
          <w:sz w:val="18"/>
          <w:szCs w:val="18"/>
        </w:rPr>
        <w:t>Npr.dvije</w:t>
      </w:r>
      <w:proofErr w:type="spellEnd"/>
      <w:r w:rsidRPr="007D34B9">
        <w:rPr>
          <w:sz w:val="18"/>
          <w:szCs w:val="18"/>
        </w:rPr>
        <w:t xml:space="preserve"> osobe od kojih svaka radi pola radnog vremena prikazuju se kao jedna u ekvivalentu punog radnog vremena (0,5+0,5=1)</w:t>
      </w:r>
    </w:p>
  </w:footnote>
  <w:footnote w:id="2">
    <w:p w:rsidR="00A6012B" w:rsidRPr="007D34B9" w:rsidRDefault="00A6012B" w:rsidP="00A6012B">
      <w:pPr>
        <w:pStyle w:val="Tekstfusnote"/>
        <w:rPr>
          <w:sz w:val="18"/>
          <w:szCs w:val="18"/>
        </w:rPr>
      </w:pPr>
      <w:r w:rsidRPr="007D34B9">
        <w:rPr>
          <w:rStyle w:val="Referencafusnote"/>
          <w:sz w:val="18"/>
          <w:szCs w:val="18"/>
        </w:rPr>
        <w:footnoteRef/>
      </w:r>
      <w:r w:rsidRPr="007D34B9">
        <w:rPr>
          <w:sz w:val="18"/>
          <w:szCs w:val="18"/>
        </w:rPr>
        <w:t xml:space="preserve"> Korisnik dostavlja obrazloženje na koji način  ulaganje uključuje korištenje energije iz obnovljivih izvora energije</w:t>
      </w:r>
    </w:p>
  </w:footnote>
  <w:footnote w:id="3">
    <w:p w:rsidR="00A6012B" w:rsidRPr="007D34B9" w:rsidRDefault="00A6012B" w:rsidP="00A6012B">
      <w:pPr>
        <w:pStyle w:val="Tekstfusnote"/>
        <w:rPr>
          <w:sz w:val="18"/>
          <w:szCs w:val="18"/>
        </w:rPr>
      </w:pPr>
      <w:r w:rsidRPr="007D34B9">
        <w:rPr>
          <w:rStyle w:val="Referencafusnote"/>
          <w:sz w:val="18"/>
          <w:szCs w:val="18"/>
        </w:rPr>
        <w:footnoteRef/>
      </w:r>
      <w:r w:rsidRPr="007D34B9">
        <w:rPr>
          <w:sz w:val="18"/>
          <w:szCs w:val="18"/>
        </w:rPr>
        <w:t xml:space="preserve"> Korisnik dostavlja obrazloženje na koji način</w:t>
      </w:r>
      <w:r w:rsidRPr="007D34B9">
        <w:rPr>
          <w:noProof/>
          <w:sz w:val="18"/>
          <w:szCs w:val="18"/>
        </w:rPr>
        <w:t xml:space="preserve"> ulaganje doprinosi ostvarenju većeg broja ciljeva Lokalne razvojne strategije</w:t>
      </w:r>
    </w:p>
    <w:p w:rsidR="00A6012B" w:rsidRPr="007D34B9" w:rsidRDefault="00A6012B" w:rsidP="00A6012B">
      <w:pPr>
        <w:pStyle w:val="Tekstfusnote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17" w:rsidRPr="00FA0053" w:rsidRDefault="001F4E17" w:rsidP="001F4E17">
    <w:pPr>
      <w:rPr>
        <w:rFonts w:asciiTheme="minorHAnsi" w:hAnsiTheme="minorHAnsi" w:cstheme="minorHAnsi"/>
        <w:b/>
        <w:sz w:val="16"/>
      </w:rPr>
    </w:pPr>
    <w:r>
      <w:rPr>
        <w:noProof/>
        <w:lang w:eastAsia="hr-HR"/>
      </w:rPr>
      <w:drawing>
        <wp:anchor distT="0" distB="0" distL="114300" distR="114300" simplePos="0" relativeHeight="251656704" behindDoc="0" locked="0" layoutInCell="1" allowOverlap="1" wp14:anchorId="7B658D9E" wp14:editId="01F6D752">
          <wp:simplePos x="0" y="0"/>
          <wp:positionH relativeFrom="margin">
            <wp:posOffset>0</wp:posOffset>
          </wp:positionH>
          <wp:positionV relativeFrom="paragraph">
            <wp:posOffset>52705</wp:posOffset>
          </wp:positionV>
          <wp:extent cx="846455" cy="8464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objava dezur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A0053">
      <w:rPr>
        <w:rFonts w:asciiTheme="minorHAnsi" w:hAnsiTheme="minorHAnsi" w:cstheme="minorHAnsi"/>
        <w:b/>
        <w:sz w:val="16"/>
      </w:rPr>
      <w:t>LAG GORSKI KOTAR</w:t>
    </w:r>
  </w:p>
  <w:p w:rsidR="001F4E17" w:rsidRPr="00FA0053" w:rsidRDefault="001F4E17" w:rsidP="001F4E17">
    <w:pPr>
      <w:rPr>
        <w:rFonts w:asciiTheme="minorHAnsi" w:hAnsiTheme="minorHAnsi" w:cstheme="minorHAnsi"/>
        <w:b/>
        <w:sz w:val="16"/>
      </w:rPr>
    </w:pPr>
    <w:r w:rsidRPr="00FA0053">
      <w:rPr>
        <w:rFonts w:asciiTheme="minorHAnsi" w:hAnsiTheme="minorHAnsi" w:cstheme="minorHAnsi"/>
        <w:b/>
        <w:sz w:val="16"/>
      </w:rPr>
      <w:tab/>
    </w:r>
    <w:r w:rsidRPr="00FA0053">
      <w:rPr>
        <w:rFonts w:asciiTheme="minorHAnsi" w:hAnsiTheme="minorHAnsi" w:cstheme="minorHAnsi"/>
        <w:b/>
        <w:sz w:val="16"/>
      </w:rPr>
      <w:tab/>
      <w:t>Lokalna akcijska grupa Gorski kotar</w:t>
    </w:r>
  </w:p>
  <w:p w:rsidR="001F4E17" w:rsidRPr="00FA0053" w:rsidRDefault="001F4E17" w:rsidP="001F4E17">
    <w:pPr>
      <w:rPr>
        <w:rFonts w:asciiTheme="minorHAnsi" w:hAnsiTheme="minorHAnsi" w:cstheme="minorHAnsi"/>
        <w:sz w:val="16"/>
      </w:rPr>
    </w:pPr>
    <w:r w:rsidRPr="00FA0053">
      <w:rPr>
        <w:rFonts w:asciiTheme="minorHAnsi" w:hAnsiTheme="minorHAnsi" w:cstheme="minorHAnsi"/>
        <w:sz w:val="16"/>
      </w:rPr>
      <w:tab/>
    </w:r>
    <w:r w:rsidRPr="00FA0053">
      <w:rPr>
        <w:rFonts w:asciiTheme="minorHAnsi" w:hAnsiTheme="minorHAnsi" w:cstheme="minorHAnsi"/>
        <w:sz w:val="16"/>
      </w:rPr>
      <w:tab/>
      <w:t>Rudolfa Strohala 118, 51316 Lokve</w:t>
    </w:r>
  </w:p>
  <w:p w:rsidR="001F4E17" w:rsidRPr="00FA0053" w:rsidRDefault="001F4E17" w:rsidP="001F4E17">
    <w:pPr>
      <w:rPr>
        <w:rFonts w:asciiTheme="minorHAnsi" w:hAnsiTheme="minorHAnsi" w:cstheme="minorHAnsi"/>
        <w:sz w:val="16"/>
      </w:rPr>
    </w:pPr>
    <w:r w:rsidRPr="00FA0053">
      <w:rPr>
        <w:rFonts w:asciiTheme="minorHAnsi" w:hAnsiTheme="minorHAnsi" w:cstheme="minorHAnsi"/>
        <w:sz w:val="16"/>
      </w:rPr>
      <w:tab/>
    </w:r>
    <w:r w:rsidRPr="00FA0053">
      <w:rPr>
        <w:rFonts w:asciiTheme="minorHAnsi" w:hAnsiTheme="minorHAnsi" w:cstheme="minorHAnsi"/>
        <w:sz w:val="16"/>
      </w:rPr>
      <w:tab/>
      <w:t>OIB 36370754555; IBAN: HR1124020061100550287</w:t>
    </w:r>
  </w:p>
  <w:p w:rsidR="001F4E17" w:rsidRPr="00FA0053" w:rsidRDefault="001F4E17" w:rsidP="001F4E17">
    <w:pPr>
      <w:ind w:left="708" w:firstLine="708"/>
      <w:rPr>
        <w:rFonts w:asciiTheme="minorHAnsi" w:hAnsiTheme="minorHAnsi" w:cstheme="minorHAnsi"/>
        <w:sz w:val="16"/>
      </w:rPr>
    </w:pPr>
    <w:r w:rsidRPr="00FA0053">
      <w:rPr>
        <w:rFonts w:asciiTheme="minorHAnsi" w:hAnsiTheme="minorHAnsi" w:cstheme="minorHAnsi"/>
        <w:sz w:val="16"/>
      </w:rPr>
      <w:t>W.www.lag-gorskikotar.hr; E.info@lag-gorskikotar.hr</w:t>
    </w:r>
  </w:p>
  <w:p w:rsidR="001F4E17" w:rsidRPr="00FA0053" w:rsidRDefault="001F4E17" w:rsidP="001F4E17">
    <w:pPr>
      <w:ind w:left="708" w:firstLine="708"/>
      <w:rPr>
        <w:rFonts w:asciiTheme="minorHAnsi" w:hAnsiTheme="minorHAnsi" w:cstheme="minorHAnsi"/>
        <w:sz w:val="16"/>
      </w:rPr>
    </w:pPr>
    <w:r w:rsidRPr="00FA0053">
      <w:rPr>
        <w:rFonts w:asciiTheme="minorHAnsi" w:hAnsiTheme="minorHAnsi" w:cstheme="minorHAnsi"/>
        <w:sz w:val="16"/>
      </w:rPr>
      <w:t>Upisana u Registar Udruga 23.02.2009.; Registarski broj udruge 08002920;</w:t>
    </w:r>
  </w:p>
  <w:p w:rsidR="001F4E17" w:rsidRDefault="001F4E17" w:rsidP="001F4E17">
    <w:pPr>
      <w:ind w:left="708" w:firstLine="708"/>
      <w:rPr>
        <w:sz w:val="16"/>
      </w:rPr>
    </w:pPr>
    <w:r w:rsidRPr="00FA0053">
      <w:rPr>
        <w:rFonts w:asciiTheme="minorHAnsi" w:hAnsiTheme="minorHAnsi" w:cstheme="minorHAnsi"/>
        <w:sz w:val="16"/>
      </w:rPr>
      <w:t>Broj upisa u Registar neprofitnih organizacija: 0119060</w:t>
    </w:r>
    <w:r w:rsidRPr="00FA0053">
      <w:rPr>
        <w:rFonts w:asciiTheme="minorHAnsi" w:hAnsiTheme="minorHAnsi" w:cstheme="minorHAnsi"/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1F4E17" w:rsidRDefault="001F4E17" w:rsidP="001F4E17">
    <w:pPr>
      <w:tabs>
        <w:tab w:val="right" w:pos="9072"/>
      </w:tabs>
      <w:ind w:left="7080"/>
      <w:rPr>
        <w:sz w:val="16"/>
      </w:rPr>
    </w:pPr>
    <w:r>
      <w:rPr>
        <w:noProof/>
        <w:sz w:val="16"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AF0E12" wp14:editId="57BBCBF7">
              <wp:simplePos x="0" y="0"/>
              <wp:positionH relativeFrom="margin">
                <wp:align>center</wp:align>
              </wp:positionH>
              <wp:positionV relativeFrom="paragraph">
                <wp:posOffset>143510</wp:posOffset>
              </wp:positionV>
              <wp:extent cx="6943725" cy="10795"/>
              <wp:effectExtent l="0" t="0" r="28575" b="2730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10795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2B864" id="Ravni poveznik 2" o:spid="_x0000_s1026" style="position:absolute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546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" strokecolor="#a5c249 [3209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 </w:t>
    </w:r>
  </w:p>
  <w:p w:rsidR="003B78BE" w:rsidRPr="007D5A6A" w:rsidRDefault="003B78BE" w:rsidP="001F4E17">
    <w:pPr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C7B"/>
    <w:multiLevelType w:val="hybridMultilevel"/>
    <w:tmpl w:val="9D4E3EBA"/>
    <w:lvl w:ilvl="0" w:tplc="6640FB3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EE3"/>
    <w:multiLevelType w:val="multilevel"/>
    <w:tmpl w:val="9C90B4A2"/>
    <w:lvl w:ilvl="0">
      <w:start w:val="1"/>
      <w:numFmt w:val="decimal"/>
      <w:lvlText w:val="1.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111709"/>
    <w:multiLevelType w:val="hybridMultilevel"/>
    <w:tmpl w:val="26B41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9185B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4" w15:restartNumberingAfterBreak="0">
    <w:nsid w:val="2B4B1FDC"/>
    <w:multiLevelType w:val="hybridMultilevel"/>
    <w:tmpl w:val="3F5644D2"/>
    <w:lvl w:ilvl="0" w:tplc="31004944">
      <w:start w:val="1"/>
      <w:numFmt w:val="decimal"/>
      <w:lvlText w:val="%1."/>
      <w:lvlJc w:val="left"/>
      <w:pPr>
        <w:ind w:left="109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 w15:restartNumberingAfterBreak="0">
    <w:nsid w:val="32761C60"/>
    <w:multiLevelType w:val="hybridMultilevel"/>
    <w:tmpl w:val="337C94EA"/>
    <w:lvl w:ilvl="0" w:tplc="4D24E29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0363B"/>
    <w:multiLevelType w:val="hybridMultilevel"/>
    <w:tmpl w:val="BEA8A41A"/>
    <w:lvl w:ilvl="0" w:tplc="802C7D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A1221"/>
    <w:multiLevelType w:val="hybridMultilevel"/>
    <w:tmpl w:val="775471D4"/>
    <w:lvl w:ilvl="0" w:tplc="583E9A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5E"/>
    <w:rsid w:val="00014C7E"/>
    <w:rsid w:val="00015E9E"/>
    <w:rsid w:val="00024F20"/>
    <w:rsid w:val="00031323"/>
    <w:rsid w:val="00034B9B"/>
    <w:rsid w:val="00042286"/>
    <w:rsid w:val="000451C3"/>
    <w:rsid w:val="00051BA2"/>
    <w:rsid w:val="0006264A"/>
    <w:rsid w:val="000A68A2"/>
    <w:rsid w:val="000A6A64"/>
    <w:rsid w:val="000C2485"/>
    <w:rsid w:val="000D158C"/>
    <w:rsid w:val="000F525B"/>
    <w:rsid w:val="00106A3C"/>
    <w:rsid w:val="00124060"/>
    <w:rsid w:val="00132CC8"/>
    <w:rsid w:val="00133290"/>
    <w:rsid w:val="001340BD"/>
    <w:rsid w:val="001344B8"/>
    <w:rsid w:val="0013494F"/>
    <w:rsid w:val="0014305E"/>
    <w:rsid w:val="00153F74"/>
    <w:rsid w:val="00162080"/>
    <w:rsid w:val="001745CE"/>
    <w:rsid w:val="001759C9"/>
    <w:rsid w:val="0018357C"/>
    <w:rsid w:val="00184A32"/>
    <w:rsid w:val="001852DC"/>
    <w:rsid w:val="001959D1"/>
    <w:rsid w:val="001A514A"/>
    <w:rsid w:val="001C1F65"/>
    <w:rsid w:val="001F4E17"/>
    <w:rsid w:val="00230556"/>
    <w:rsid w:val="00235DC0"/>
    <w:rsid w:val="0024187B"/>
    <w:rsid w:val="00252CBB"/>
    <w:rsid w:val="0027720C"/>
    <w:rsid w:val="002810E6"/>
    <w:rsid w:val="002D1055"/>
    <w:rsid w:val="002D2167"/>
    <w:rsid w:val="002E4BD3"/>
    <w:rsid w:val="0031521B"/>
    <w:rsid w:val="00322A2E"/>
    <w:rsid w:val="00333889"/>
    <w:rsid w:val="003362F1"/>
    <w:rsid w:val="00337EA5"/>
    <w:rsid w:val="00381416"/>
    <w:rsid w:val="003845F8"/>
    <w:rsid w:val="00394192"/>
    <w:rsid w:val="003A4CBC"/>
    <w:rsid w:val="003B78BE"/>
    <w:rsid w:val="003D4F3D"/>
    <w:rsid w:val="00414330"/>
    <w:rsid w:val="004311C6"/>
    <w:rsid w:val="004516D8"/>
    <w:rsid w:val="00452D58"/>
    <w:rsid w:val="00453820"/>
    <w:rsid w:val="00460292"/>
    <w:rsid w:val="00470F89"/>
    <w:rsid w:val="00481A44"/>
    <w:rsid w:val="00482AED"/>
    <w:rsid w:val="00492454"/>
    <w:rsid w:val="004A0C26"/>
    <w:rsid w:val="004A5300"/>
    <w:rsid w:val="004E7CB0"/>
    <w:rsid w:val="004F2F6E"/>
    <w:rsid w:val="0050307E"/>
    <w:rsid w:val="00511DA1"/>
    <w:rsid w:val="005404EB"/>
    <w:rsid w:val="00562B8F"/>
    <w:rsid w:val="00565671"/>
    <w:rsid w:val="00572518"/>
    <w:rsid w:val="0057738E"/>
    <w:rsid w:val="005829B9"/>
    <w:rsid w:val="005870B9"/>
    <w:rsid w:val="0059047C"/>
    <w:rsid w:val="00592CEB"/>
    <w:rsid w:val="005A0D24"/>
    <w:rsid w:val="005A6BDB"/>
    <w:rsid w:val="005B1FBF"/>
    <w:rsid w:val="005E5982"/>
    <w:rsid w:val="005E5B4B"/>
    <w:rsid w:val="005F7111"/>
    <w:rsid w:val="0066641E"/>
    <w:rsid w:val="00666699"/>
    <w:rsid w:val="0067400D"/>
    <w:rsid w:val="00694053"/>
    <w:rsid w:val="006A481D"/>
    <w:rsid w:val="006A6BA2"/>
    <w:rsid w:val="006B6155"/>
    <w:rsid w:val="006B7E34"/>
    <w:rsid w:val="006C1737"/>
    <w:rsid w:val="006C260F"/>
    <w:rsid w:val="006D271A"/>
    <w:rsid w:val="006E4AF0"/>
    <w:rsid w:val="006E77C7"/>
    <w:rsid w:val="006E7B21"/>
    <w:rsid w:val="00704DA6"/>
    <w:rsid w:val="00723C91"/>
    <w:rsid w:val="00761BBB"/>
    <w:rsid w:val="0077414E"/>
    <w:rsid w:val="00795769"/>
    <w:rsid w:val="007A22A5"/>
    <w:rsid w:val="007A5341"/>
    <w:rsid w:val="007B6922"/>
    <w:rsid w:val="007D396F"/>
    <w:rsid w:val="007D5A6A"/>
    <w:rsid w:val="007F199C"/>
    <w:rsid w:val="007F5166"/>
    <w:rsid w:val="00802CE0"/>
    <w:rsid w:val="00806534"/>
    <w:rsid w:val="00810204"/>
    <w:rsid w:val="008107EE"/>
    <w:rsid w:val="0081492E"/>
    <w:rsid w:val="008150B0"/>
    <w:rsid w:val="00832871"/>
    <w:rsid w:val="00832C7F"/>
    <w:rsid w:val="00834C78"/>
    <w:rsid w:val="00862A23"/>
    <w:rsid w:val="00867761"/>
    <w:rsid w:val="008712CB"/>
    <w:rsid w:val="00892664"/>
    <w:rsid w:val="008974E6"/>
    <w:rsid w:val="008A3F73"/>
    <w:rsid w:val="008C5583"/>
    <w:rsid w:val="008C68E1"/>
    <w:rsid w:val="008D01C5"/>
    <w:rsid w:val="0090256F"/>
    <w:rsid w:val="00932426"/>
    <w:rsid w:val="00941E5B"/>
    <w:rsid w:val="00984750"/>
    <w:rsid w:val="009A1527"/>
    <w:rsid w:val="009A418F"/>
    <w:rsid w:val="009A423A"/>
    <w:rsid w:val="009C2FCF"/>
    <w:rsid w:val="009F064E"/>
    <w:rsid w:val="00A04EFF"/>
    <w:rsid w:val="00A07992"/>
    <w:rsid w:val="00A22A98"/>
    <w:rsid w:val="00A30601"/>
    <w:rsid w:val="00A35E0A"/>
    <w:rsid w:val="00A36C4F"/>
    <w:rsid w:val="00A53625"/>
    <w:rsid w:val="00A6012B"/>
    <w:rsid w:val="00A60ED5"/>
    <w:rsid w:val="00A701D8"/>
    <w:rsid w:val="00A95148"/>
    <w:rsid w:val="00AA4F1C"/>
    <w:rsid w:val="00AB0873"/>
    <w:rsid w:val="00AB2C57"/>
    <w:rsid w:val="00AC1B25"/>
    <w:rsid w:val="00AC395E"/>
    <w:rsid w:val="00AD0E43"/>
    <w:rsid w:val="00AD6E9A"/>
    <w:rsid w:val="00AD75DE"/>
    <w:rsid w:val="00AE2BDD"/>
    <w:rsid w:val="00AE69E6"/>
    <w:rsid w:val="00B00169"/>
    <w:rsid w:val="00B02FFD"/>
    <w:rsid w:val="00B05B94"/>
    <w:rsid w:val="00B10CAE"/>
    <w:rsid w:val="00B13DD8"/>
    <w:rsid w:val="00B1585D"/>
    <w:rsid w:val="00B158D1"/>
    <w:rsid w:val="00B1762A"/>
    <w:rsid w:val="00B401A7"/>
    <w:rsid w:val="00B43BFE"/>
    <w:rsid w:val="00B60498"/>
    <w:rsid w:val="00B64397"/>
    <w:rsid w:val="00B828AB"/>
    <w:rsid w:val="00B9302E"/>
    <w:rsid w:val="00BA4AD4"/>
    <w:rsid w:val="00BB7779"/>
    <w:rsid w:val="00BB77A3"/>
    <w:rsid w:val="00BC04E8"/>
    <w:rsid w:val="00BC4B5C"/>
    <w:rsid w:val="00BD35A2"/>
    <w:rsid w:val="00C05893"/>
    <w:rsid w:val="00C136A8"/>
    <w:rsid w:val="00C323AC"/>
    <w:rsid w:val="00C43ECE"/>
    <w:rsid w:val="00C45C10"/>
    <w:rsid w:val="00C73D96"/>
    <w:rsid w:val="00C86136"/>
    <w:rsid w:val="00C871C6"/>
    <w:rsid w:val="00C96346"/>
    <w:rsid w:val="00CA0D8A"/>
    <w:rsid w:val="00CB34ED"/>
    <w:rsid w:val="00CB3935"/>
    <w:rsid w:val="00CC4885"/>
    <w:rsid w:val="00CC7A59"/>
    <w:rsid w:val="00CD53C8"/>
    <w:rsid w:val="00CD6EC6"/>
    <w:rsid w:val="00CF7671"/>
    <w:rsid w:val="00D35CFF"/>
    <w:rsid w:val="00D45657"/>
    <w:rsid w:val="00D4633B"/>
    <w:rsid w:val="00D5510A"/>
    <w:rsid w:val="00D5637C"/>
    <w:rsid w:val="00D61C34"/>
    <w:rsid w:val="00D7167F"/>
    <w:rsid w:val="00D74B72"/>
    <w:rsid w:val="00D74E8D"/>
    <w:rsid w:val="00D917B9"/>
    <w:rsid w:val="00DA162F"/>
    <w:rsid w:val="00DB3DEF"/>
    <w:rsid w:val="00DC1707"/>
    <w:rsid w:val="00DD1C99"/>
    <w:rsid w:val="00DE149B"/>
    <w:rsid w:val="00DE6DCE"/>
    <w:rsid w:val="00DF34AC"/>
    <w:rsid w:val="00E02C46"/>
    <w:rsid w:val="00E27DCE"/>
    <w:rsid w:val="00E35F34"/>
    <w:rsid w:val="00E6266D"/>
    <w:rsid w:val="00E97CE9"/>
    <w:rsid w:val="00EA32DE"/>
    <w:rsid w:val="00EB73FB"/>
    <w:rsid w:val="00ED0D95"/>
    <w:rsid w:val="00EE7107"/>
    <w:rsid w:val="00EF58D8"/>
    <w:rsid w:val="00F02C10"/>
    <w:rsid w:val="00F12173"/>
    <w:rsid w:val="00F55A1D"/>
    <w:rsid w:val="00F56D83"/>
    <w:rsid w:val="00F93871"/>
    <w:rsid w:val="00FA0053"/>
    <w:rsid w:val="00FB030E"/>
    <w:rsid w:val="00FB3BC8"/>
    <w:rsid w:val="00FD46AE"/>
    <w:rsid w:val="00FD5B43"/>
    <w:rsid w:val="00FF3A49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CDD300-B720-4573-A2DA-8B2B05F9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4">
    <w:name w:val="heading 4"/>
    <w:basedOn w:val="Normal"/>
    <w:next w:val="Normal"/>
    <w:link w:val="Naslov4Char"/>
    <w:qFormat/>
    <w:rsid w:val="003A4C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C395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AC395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C395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395E"/>
    <w:rPr>
      <w:lang w:val="hr-HR"/>
    </w:rPr>
  </w:style>
  <w:style w:type="paragraph" w:customStyle="1" w:styleId="Head">
    <w:name w:val="Head"/>
    <w:basedOn w:val="Normal"/>
    <w:rsid w:val="0012406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szCs w:val="20"/>
      <w:lang w:val="en-GB" w:eastAsia="sl-SI"/>
    </w:rPr>
  </w:style>
  <w:style w:type="paragraph" w:styleId="Odlomakpopisa">
    <w:name w:val="List Paragraph"/>
    <w:basedOn w:val="Normal"/>
    <w:uiPriority w:val="34"/>
    <w:qFormat/>
    <w:rsid w:val="00B10CAE"/>
    <w:pPr>
      <w:ind w:left="720"/>
    </w:pPr>
  </w:style>
  <w:style w:type="paragraph" w:customStyle="1" w:styleId="Default">
    <w:name w:val="Default"/>
    <w:rsid w:val="00C73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1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136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aslov4Char">
    <w:name w:val="Naslov 4 Char"/>
    <w:basedOn w:val="Zadanifontodlomka"/>
    <w:link w:val="Naslov4"/>
    <w:rsid w:val="003A4CBC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styleId="Hiperveza">
    <w:name w:val="Hyperlink"/>
    <w:basedOn w:val="Zadanifontodlomka"/>
    <w:uiPriority w:val="99"/>
    <w:unhideWhenUsed/>
    <w:rsid w:val="003A4CBC"/>
    <w:rPr>
      <w:color w:val="F49100" w:themeColor="hyperlink"/>
      <w:u w:val="single"/>
    </w:rPr>
  </w:style>
  <w:style w:type="table" w:styleId="Tablicapopisa3-isticanje1">
    <w:name w:val="List Table 3 Accent 1"/>
    <w:basedOn w:val="Obinatablica"/>
    <w:uiPriority w:val="48"/>
    <w:rsid w:val="003A4CBC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paragraph" w:styleId="StandardWeb">
    <w:name w:val="Normal (Web)"/>
    <w:basedOn w:val="Normal"/>
    <w:uiPriority w:val="99"/>
    <w:semiHidden/>
    <w:unhideWhenUsed/>
    <w:rsid w:val="003D4F3D"/>
    <w:pPr>
      <w:spacing w:before="100" w:beforeAutospacing="1" w:after="100" w:afterAutospacing="1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unhideWhenUsed/>
    <w:rsid w:val="00A35E0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35E0A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unhideWhenUsed/>
    <w:rsid w:val="00A35E0A"/>
    <w:rPr>
      <w:vertAlign w:val="superscript"/>
    </w:rPr>
  </w:style>
  <w:style w:type="table" w:styleId="Reetkatablice">
    <w:name w:val="Table Grid"/>
    <w:basedOn w:val="Obinatablica"/>
    <w:uiPriority w:val="39"/>
    <w:rsid w:val="00DE6DCE"/>
    <w:pPr>
      <w:spacing w:before="80" w:after="40" w:line="240" w:lineRule="auto"/>
      <w:jc w:val="both"/>
    </w:pPr>
    <w:rPr>
      <w:rFonts w:ascii="Calibri" w:eastAsia="Calibri" w:hAnsi="Calibri" w:cs="Times New Roman"/>
      <w:sz w:val="18"/>
      <w:szCs w:val="20"/>
      <w:lang w:val="hr-HR" w:eastAsia="hr-HR"/>
    </w:rPr>
    <w:tblPr>
      <w:tblBorders>
        <w:top w:val="double" w:sz="4" w:space="0" w:color="83BC5C"/>
        <w:left w:val="double" w:sz="4" w:space="0" w:color="83BC5C"/>
        <w:bottom w:val="double" w:sz="4" w:space="0" w:color="83BC5C"/>
        <w:right w:val="double" w:sz="4" w:space="0" w:color="83BC5C"/>
        <w:insideH w:val="double" w:sz="4" w:space="0" w:color="83BC5C"/>
        <w:insideV w:val="double" w:sz="4" w:space="0" w:color="83BC5C"/>
      </w:tblBorders>
    </w:tblPr>
  </w:style>
  <w:style w:type="table" w:styleId="Svijetlatablicareetke1">
    <w:name w:val="Grid Table 1 Light"/>
    <w:basedOn w:val="Obinatablica"/>
    <w:uiPriority w:val="46"/>
    <w:rsid w:val="00DE6D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link w:val="BezproredaChar"/>
    <w:uiPriority w:val="1"/>
    <w:qFormat/>
    <w:rsid w:val="001340BD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1340BD"/>
    <w:rPr>
      <w:rFonts w:ascii="Calibri" w:eastAsia="Calibri" w:hAnsi="Calibri" w:cs="Times New Roman"/>
      <w:lang w:val="hr-HR"/>
    </w:rPr>
  </w:style>
  <w:style w:type="table" w:styleId="Svijetlatablicareetke1-isticanje6">
    <w:name w:val="Grid Table 1 Light Accent 6"/>
    <w:basedOn w:val="Obinatablica"/>
    <w:uiPriority w:val="46"/>
    <w:rsid w:val="00AD0E43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">
    <w:name w:val="Rešetka tablice1"/>
    <w:basedOn w:val="Obinatablica"/>
    <w:next w:val="Reetkatablice"/>
    <w:uiPriority w:val="39"/>
    <w:rsid w:val="00A6012B"/>
    <w:pPr>
      <w:spacing w:before="80" w:after="40" w:line="240" w:lineRule="auto"/>
      <w:jc w:val="both"/>
    </w:pPr>
    <w:rPr>
      <w:rFonts w:ascii="Calibri" w:eastAsia="Calibri" w:hAnsi="Calibri" w:cs="Times New Roman"/>
      <w:sz w:val="18"/>
      <w:szCs w:val="20"/>
      <w:lang w:val="hr-HR" w:eastAsia="hr-HR"/>
    </w:rPr>
    <w:tblPr>
      <w:tblBorders>
        <w:top w:val="double" w:sz="4" w:space="0" w:color="83BC5C"/>
        <w:left w:val="double" w:sz="4" w:space="0" w:color="83BC5C"/>
        <w:bottom w:val="double" w:sz="4" w:space="0" w:color="83BC5C"/>
        <w:right w:val="double" w:sz="4" w:space="0" w:color="83BC5C"/>
        <w:insideH w:val="double" w:sz="4" w:space="0" w:color="83BC5C"/>
        <w:insideV w:val="double" w:sz="4" w:space="0" w:color="83BC5C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A6C1-122B-4B64-AA22-7110013B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LAG-2</cp:lastModifiedBy>
  <cp:revision>6</cp:revision>
  <cp:lastPrinted>2016-09-27T12:35:00Z</cp:lastPrinted>
  <dcterms:created xsi:type="dcterms:W3CDTF">2019-06-28T12:19:00Z</dcterms:created>
  <dcterms:modified xsi:type="dcterms:W3CDTF">2019-07-05T06:57:00Z</dcterms:modified>
</cp:coreProperties>
</file>